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D40" w:rsidRDefault="006B7D40">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6B7D40" w:rsidRDefault="0067243B">
      <w:pPr>
        <w:keepNext/>
        <w:jc w:val="left"/>
        <w:rPr>
          <w:rFonts w:ascii="Arial" w:eastAsia="Arial" w:hAnsi="Arial"/>
          <w:b/>
          <w:sz w:val="36"/>
          <w:szCs w:val="36"/>
        </w:rPr>
      </w:pPr>
      <w:r>
        <w:rPr>
          <w:rFonts w:ascii="Arial" w:eastAsia="Arial" w:hAnsi="Arial"/>
          <w:b/>
          <w:sz w:val="36"/>
          <w:szCs w:val="36"/>
        </w:rPr>
        <w:t>Joint Schedule 14 (Benchmarking)</w:t>
      </w:r>
    </w:p>
    <w:p w:rsidR="006B7D40" w:rsidRDefault="0067243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6B7D40" w:rsidRDefault="0067243B">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bookmarkStart w:id="0" w:name="_heading=h.3dy6vkm" w:colFirst="0" w:colLast="0"/>
            <w:bookmarkEnd w:id="0"/>
            <w:r>
              <w:rPr>
                <w:rFonts w:ascii="Arial" w:eastAsia="Arial" w:hAnsi="Arial"/>
                <w:b/>
                <w:sz w:val="24"/>
                <w:szCs w:val="24"/>
              </w:rPr>
              <w:t>"Benchmark Review"</w:t>
            </w: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142" w:type="dxa"/>
            <w:shd w:val="clear" w:color="auto" w:fill="auto"/>
          </w:tcPr>
          <w:p w:rsidR="006B7D40" w:rsidRDefault="0067243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sz w:val="24"/>
                <w:szCs w:val="24"/>
              </w:rPr>
              <w:t>Supplier shall propose an approach for developing a comparable Deliverables benchmark;</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sz w:val="24"/>
                <w:szCs w:val="24"/>
              </w:rPr>
              <w:t>arators with the Supplier or which, are best practice organisations;</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6B7D40">
        <w:tc>
          <w:tcPr>
            <w:tcW w:w="2900" w:type="dxa"/>
            <w:shd w:val="clear" w:color="auto" w:fill="auto"/>
          </w:tcPr>
          <w:p w:rsidR="006B7D40"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142" w:type="dxa"/>
            <w:shd w:val="clear" w:color="auto" w:fill="auto"/>
          </w:tcPr>
          <w:p w:rsidR="006B7D40" w:rsidRDefault="0067243B">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6B7D40">
        <w:tc>
          <w:tcPr>
            <w:tcW w:w="2900" w:type="dxa"/>
            <w:shd w:val="clear" w:color="auto" w:fill="auto"/>
          </w:tcPr>
          <w:p w:rsidR="005E4DDB" w:rsidRDefault="0067243B">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w:t>
            </w:r>
            <w:bookmarkStart w:id="1" w:name="_GoBack"/>
            <w:bookmarkEnd w:id="1"/>
            <w:r>
              <w:rPr>
                <w:rFonts w:ascii="Arial" w:eastAsia="Arial" w:hAnsi="Arial"/>
                <w:b/>
                <w:sz w:val="24"/>
                <w:szCs w:val="24"/>
              </w:rPr>
              <w:t>e"</w:t>
            </w:r>
          </w:p>
          <w:p w:rsidR="005E4DDB" w:rsidRPr="005E4DDB" w:rsidRDefault="005E4DDB" w:rsidP="005E4DDB">
            <w:pPr>
              <w:rPr>
                <w:rFonts w:ascii="Arial" w:eastAsia="Arial" w:hAnsi="Arial"/>
                <w:sz w:val="24"/>
                <w:szCs w:val="24"/>
              </w:rPr>
            </w:pPr>
          </w:p>
          <w:p w:rsidR="005E4DDB" w:rsidRPr="005E4DDB" w:rsidRDefault="005E4DDB" w:rsidP="005E4DDB">
            <w:pPr>
              <w:rPr>
                <w:rFonts w:ascii="Arial" w:eastAsia="Arial" w:hAnsi="Arial"/>
                <w:sz w:val="24"/>
                <w:szCs w:val="24"/>
              </w:rPr>
            </w:pPr>
          </w:p>
          <w:p w:rsidR="005E4DDB" w:rsidRDefault="005E4DDB" w:rsidP="005E4DDB">
            <w:pPr>
              <w:rPr>
                <w:rFonts w:ascii="Arial" w:eastAsia="Arial" w:hAnsi="Arial"/>
                <w:sz w:val="24"/>
                <w:szCs w:val="24"/>
              </w:rPr>
            </w:pPr>
          </w:p>
          <w:p w:rsidR="005E4DDB" w:rsidRPr="005E4DDB" w:rsidRDefault="005E4DDB" w:rsidP="005E4DDB">
            <w:pPr>
              <w:rPr>
                <w:rFonts w:ascii="Arial" w:eastAsia="Arial" w:hAnsi="Arial"/>
                <w:sz w:val="24"/>
                <w:szCs w:val="24"/>
              </w:rPr>
            </w:pPr>
          </w:p>
          <w:p w:rsidR="005E4DDB" w:rsidRDefault="005E4DDB" w:rsidP="005E4DDB">
            <w:pPr>
              <w:rPr>
                <w:rFonts w:ascii="Arial" w:eastAsia="Arial" w:hAnsi="Arial"/>
                <w:sz w:val="24"/>
                <w:szCs w:val="24"/>
              </w:rPr>
            </w:pPr>
          </w:p>
          <w:p w:rsidR="006B7D40" w:rsidRPr="005E4DDB" w:rsidRDefault="006B7D40" w:rsidP="005E4DDB">
            <w:pPr>
              <w:jc w:val="center"/>
              <w:rPr>
                <w:rFonts w:ascii="Arial" w:eastAsia="Arial" w:hAnsi="Arial"/>
                <w:sz w:val="24"/>
                <w:szCs w:val="24"/>
              </w:rPr>
            </w:pPr>
          </w:p>
        </w:tc>
        <w:tc>
          <w:tcPr>
            <w:tcW w:w="5142" w:type="dxa"/>
            <w:shd w:val="clear" w:color="auto" w:fill="auto"/>
          </w:tcPr>
          <w:p w:rsidR="006B7D40" w:rsidRDefault="0067243B">
            <w:pPr>
              <w:pBdr>
                <w:top w:val="nil"/>
                <w:left w:val="nil"/>
                <w:bottom w:val="nil"/>
                <w:right w:val="nil"/>
                <w:between w:val="nil"/>
              </w:pBdr>
              <w:tabs>
                <w:tab w:val="left" w:pos="175"/>
              </w:tabs>
              <w:spacing w:after="120"/>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sz w:val="24"/>
                <w:szCs w:val="24"/>
              </w:rPr>
              <w:t>eliverables.</w:t>
            </w:r>
          </w:p>
        </w:tc>
      </w:tr>
    </w:tbl>
    <w:p w:rsidR="006B7D40" w:rsidRDefault="0067243B">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6B7D40" w:rsidRDefault="0067243B">
      <w:pPr>
        <w:numPr>
          <w:ilvl w:val="1"/>
          <w:numId w:val="1"/>
        </w:numPr>
        <w:pBdr>
          <w:top w:val="nil"/>
          <w:left w:val="nil"/>
          <w:bottom w:val="nil"/>
          <w:right w:val="nil"/>
          <w:between w:val="nil"/>
        </w:pBdr>
        <w:tabs>
          <w:tab w:val="left" w:pos="1134"/>
        </w:tabs>
        <w:spacing w:before="120" w:after="120"/>
        <w:ind w:left="993" w:hanging="567"/>
        <w:rPr>
          <w:color w:val="000000"/>
          <w:sz w:val="24"/>
          <w:szCs w:val="24"/>
        </w:rPr>
      </w:pPr>
      <w:r>
        <w:rPr>
          <w:rFonts w:ascii="Arial" w:eastAsia="Arial" w:hAnsi="Arial"/>
          <w:color w:val="000000"/>
          <w:sz w:val="24"/>
          <w:szCs w:val="24"/>
        </w:rPr>
        <w:t xml:space="preserve">The Supplier acknowledges that the Relevant Authority wishes to ensure that the Deliverables, represent value for money to the taxpayer throughout the Contract Period.  </w:t>
      </w:r>
    </w:p>
    <w:p w:rsidR="006B7D40" w:rsidRDefault="0067243B">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Relevant Authority may terminate the Contract by issuing a Termination Notice to the Supplier if the Supplier refuses or fails to comply with its obligations as se</w:t>
      </w:r>
      <w:r>
        <w:rPr>
          <w:rFonts w:ascii="Arial" w:eastAsia="Arial" w:hAnsi="Arial"/>
          <w:color w:val="000000"/>
          <w:sz w:val="24"/>
          <w:szCs w:val="24"/>
        </w:rPr>
        <w:t xml:space="preserve">t out in Paragraphs 3 of this Schedule. </w:t>
      </w:r>
    </w:p>
    <w:p w:rsidR="006B7D40" w:rsidRDefault="0067243B">
      <w:pPr>
        <w:numPr>
          <w:ilvl w:val="1"/>
          <w:numId w:val="1"/>
        </w:numPr>
        <w:pBdr>
          <w:top w:val="nil"/>
          <w:left w:val="nil"/>
          <w:bottom w:val="nil"/>
          <w:right w:val="nil"/>
          <w:between w:val="nil"/>
        </w:pBdr>
        <w:tabs>
          <w:tab w:val="left" w:pos="1134"/>
        </w:tabs>
        <w:spacing w:before="120" w:after="120"/>
        <w:ind w:left="993" w:hanging="567"/>
        <w:rPr>
          <w:color w:val="000000"/>
          <w:sz w:val="24"/>
          <w:szCs w:val="24"/>
        </w:rPr>
      </w:pPr>
      <w:r>
        <w:rPr>
          <w:rFonts w:ascii="Arial" w:eastAsia="Arial" w:hAnsi="Arial"/>
          <w:color w:val="000000"/>
          <w:sz w:val="24"/>
          <w:szCs w:val="24"/>
        </w:rPr>
        <w:t>The Relevant Authority and the Supplier recognise that, where specified in Framework Schedule 4 (Framework Management), the Buyer may give CCS the right to enforce the Buyer's rights under this Schedule.</w:t>
      </w:r>
    </w:p>
    <w:p w:rsidR="006B7D40" w:rsidRDefault="0067243B">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Amounts pay</w:t>
      </w:r>
      <w:r>
        <w:rPr>
          <w:rFonts w:ascii="Arial" w:eastAsia="Arial" w:hAnsi="Arial"/>
          <w:color w:val="000000"/>
          <w:sz w:val="24"/>
          <w:szCs w:val="24"/>
        </w:rPr>
        <w:t>able under this Schedule shall not fall with the definition of a Cost.</w:t>
      </w:r>
    </w:p>
    <w:p w:rsidR="006B7D40" w:rsidRDefault="006B7D40">
      <w:p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p>
    <w:p w:rsidR="006B7D40" w:rsidRDefault="0067243B">
      <w:pPr>
        <w:keepNext/>
        <w:numPr>
          <w:ilvl w:val="0"/>
          <w:numId w:val="1"/>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6B7D40" w:rsidRDefault="0067243B">
      <w:pPr>
        <w:keepNext/>
        <w:numPr>
          <w:ilvl w:val="1"/>
          <w:numId w:val="1"/>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How benchmarking works</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may, by written notice to the Supplier, require a Benchmark Review of any or all of the Deliverables.</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Relevant Authority shall not be entitled to request a Benchmark Review during the first six (6) Month period from the Contract Commencement Date or at intervals of less than twelve (12) Months after any previous Benchmark Review. </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w:t>
      </w:r>
      <w:r>
        <w:rPr>
          <w:rFonts w:ascii="Arial" w:eastAsia="Arial" w:hAnsi="Arial"/>
          <w:color w:val="000000"/>
          <w:sz w:val="24"/>
          <w:szCs w:val="24"/>
        </w:rPr>
        <w:t>hmark Review will be to establish whether the Benchmarked Deliverables are, individually and/or as a whole, Good Value.</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Relevant Authority in writing.</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Upon its request f</w:t>
      </w:r>
      <w:r>
        <w:rPr>
          <w:rFonts w:ascii="Arial" w:eastAsia="Arial" w:hAnsi="Arial"/>
          <w:color w:val="000000"/>
          <w:sz w:val="24"/>
          <w:szCs w:val="24"/>
        </w:rPr>
        <w:t xml:space="preserve">or a Benchmark Review the Relevant Authority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reasonable explanation for rejecting the appointment.   If the appointment is r</w:t>
      </w:r>
      <w:r>
        <w:rPr>
          <w:rFonts w:ascii="Arial" w:eastAsia="Arial" w:hAnsi="Arial"/>
          <w:color w:val="000000"/>
          <w:sz w:val="24"/>
          <w:szCs w:val="24"/>
        </w:rPr>
        <w:t xml:space="preserve">ejected then the Relevant Authority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w:t>
      </w:r>
      <w:r>
        <w:rPr>
          <w:rFonts w:ascii="Arial" w:eastAsia="Arial" w:hAnsi="Arial"/>
          <w:color w:val="000000"/>
          <w:sz w:val="24"/>
          <w:szCs w:val="24"/>
        </w:rPr>
        <w:t xml:space="preserve">Financial Accountants. </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Relevant Authority (provided that each Party shall bear its own internal costs of the Benchmark Review) except where the Benchmark Review demonstrates that the Benchmarked Service and/</w:t>
      </w:r>
      <w:r>
        <w:rPr>
          <w:rFonts w:ascii="Arial" w:eastAsia="Arial" w:hAnsi="Arial"/>
          <w:color w:val="000000"/>
          <w:sz w:val="24"/>
          <w:szCs w:val="24"/>
        </w:rPr>
        <w:t xml:space="preserve">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w:t>
      </w:r>
      <w:r>
        <w:rPr>
          <w:rFonts w:ascii="Arial" w:eastAsia="Arial" w:hAnsi="Arial"/>
          <w:color w:val="000000"/>
          <w:sz w:val="24"/>
          <w:szCs w:val="24"/>
        </w:rPr>
        <w:lastRenderedPageBreak/>
        <w:t>against the Supplier and the rel</w:t>
      </w:r>
      <w:r>
        <w:rPr>
          <w:rFonts w:ascii="Arial" w:eastAsia="Arial" w:hAnsi="Arial"/>
          <w:color w:val="000000"/>
          <w:sz w:val="24"/>
          <w:szCs w:val="24"/>
        </w:rPr>
        <w:t>evant portion shall be reimbursed by the Relevant Authority.</w:t>
      </w:r>
    </w:p>
    <w:p w:rsidR="006B7D40" w:rsidRDefault="0067243B">
      <w:pPr>
        <w:keepNext/>
        <w:numPr>
          <w:ilvl w:val="1"/>
          <w:numId w:val="1"/>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Benchmarking Process</w:t>
      </w:r>
    </w:p>
    <w:p w:rsidR="006B7D40" w:rsidRDefault="0067243B">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gjdgxs"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Relevant Authority, for Approval, a draft plan for the Benchmark Review which must include:</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w:t>
      </w:r>
      <w:r>
        <w:rPr>
          <w:rFonts w:ascii="Arial" w:eastAsia="Arial" w:hAnsi="Arial"/>
          <w:color w:val="000000"/>
          <w:sz w:val="24"/>
          <w:szCs w:val="24"/>
        </w:rPr>
        <w:t>ker</w:t>
      </w:r>
      <w:proofErr w:type="spellEnd"/>
      <w:r>
        <w:rPr>
          <w:rFonts w:ascii="Arial" w:eastAsia="Arial" w:hAnsi="Arial"/>
          <w:color w:val="000000"/>
          <w:sz w:val="24"/>
          <w:szCs w:val="24"/>
        </w:rPr>
        <w:t xml:space="preserve"> will scope and identify the Comparison Group. </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3" w:name="_heading=h.30j0zll" w:colFirst="0" w:colLast="0"/>
      <w:bookmarkEnd w:id="3"/>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4" w:name="_heading=h.1fob9te" w:colFirst="0" w:colLast="0"/>
      <w:bookmarkEnd w:id="4"/>
      <w:r>
        <w:rPr>
          <w:rFonts w:ascii="Arial" w:eastAsia="Arial" w:hAnsi="Arial"/>
          <w:color w:val="000000"/>
          <w:sz w:val="24"/>
          <w:szCs w:val="24"/>
        </w:rPr>
        <w:t>The Relevant Authority must give notice in writing</w:t>
      </w:r>
      <w:r>
        <w:rPr>
          <w:rFonts w:ascii="Arial" w:eastAsia="Arial" w:hAnsi="Arial"/>
          <w:color w:val="000000"/>
          <w:sz w:val="24"/>
          <w:szCs w:val="24"/>
        </w:rPr>
        <w:t xml:space="preserve">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w:t>
      </w:r>
      <w:r>
        <w:rPr>
          <w:rFonts w:ascii="Arial" w:eastAsia="Arial" w:hAnsi="Arial"/>
          <w:color w:val="000000"/>
          <w:sz w:val="24"/>
          <w:szCs w:val="24"/>
        </w:rPr>
        <w:t xml:space="preserve">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w:t>
      </w:r>
      <w:r>
        <w:rPr>
          <w:rFonts w:ascii="Arial" w:eastAsia="Arial" w:hAnsi="Arial"/>
          <w:color w:val="000000"/>
          <w:sz w:val="24"/>
          <w:szCs w:val="24"/>
        </w:rPr>
        <w:t>reasonably withhold or delay its Approval of the draft plan.</w:t>
      </w:r>
    </w:p>
    <w:p w:rsidR="006B7D40" w:rsidRDefault="0067243B">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w:t>
      </w:r>
      <w:r>
        <w:rPr>
          <w:rFonts w:ascii="Arial" w:eastAsia="Arial" w:hAnsi="Arial"/>
          <w:color w:val="000000"/>
          <w:sz w:val="24"/>
          <w:szCs w:val="24"/>
        </w:rPr>
        <w:t>h in terms of number and identity) shall be a matter for the Supplier's professional judgment using:</w:t>
      </w:r>
    </w:p>
    <w:p w:rsidR="006B7D40" w:rsidRDefault="0067243B">
      <w:pPr>
        <w:numPr>
          <w:ilvl w:val="4"/>
          <w:numId w:val="1"/>
        </w:numPr>
        <w:pBdr>
          <w:top w:val="nil"/>
          <w:left w:val="nil"/>
          <w:bottom w:val="nil"/>
          <w:right w:val="nil"/>
          <w:between w:val="nil"/>
        </w:pBdr>
        <w:tabs>
          <w:tab w:val="left" w:pos="3119"/>
        </w:tabs>
        <w:spacing w:before="120" w:after="120"/>
        <w:ind w:left="2552" w:hanging="425"/>
        <w:rPr>
          <w:rFonts w:ascii="Arial" w:eastAsia="Arial" w:hAnsi="Arial"/>
          <w:color w:val="000000"/>
          <w:sz w:val="24"/>
          <w:szCs w:val="24"/>
        </w:rPr>
      </w:pPr>
      <w:r>
        <w:rPr>
          <w:rFonts w:ascii="Arial" w:eastAsia="Arial" w:hAnsi="Arial"/>
          <w:color w:val="000000"/>
          <w:sz w:val="24"/>
          <w:szCs w:val="24"/>
        </w:rPr>
        <w:t>market intelligence;</w:t>
      </w:r>
    </w:p>
    <w:p w:rsidR="006B7D40" w:rsidRDefault="0067243B">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rsidR="006B7D40" w:rsidRDefault="0067243B">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relevant published information; and</w:t>
      </w:r>
    </w:p>
    <w:p w:rsidR="006B7D40" w:rsidRDefault="0067243B">
      <w:pPr>
        <w:numPr>
          <w:ilvl w:val="4"/>
          <w:numId w:val="1"/>
        </w:numPr>
        <w:pBdr>
          <w:top w:val="nil"/>
          <w:left w:val="nil"/>
          <w:bottom w:val="nil"/>
          <w:right w:val="nil"/>
          <w:between w:val="nil"/>
        </w:pBdr>
        <w:tabs>
          <w:tab w:val="left" w:pos="3119"/>
        </w:tabs>
        <w:spacing w:before="120" w:after="120"/>
        <w:ind w:left="2552" w:hanging="470"/>
        <w:rPr>
          <w:rFonts w:ascii="Arial" w:eastAsia="Arial" w:hAnsi="Arial"/>
          <w:color w:val="000000"/>
          <w:sz w:val="24"/>
          <w:szCs w:val="24"/>
        </w:rPr>
      </w:pPr>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w:t>
      </w:r>
      <w:r>
        <w:rPr>
          <w:rFonts w:ascii="Arial" w:eastAsia="Arial" w:hAnsi="Arial"/>
          <w:color w:val="000000"/>
          <w:sz w:val="24"/>
          <w:szCs w:val="24"/>
        </w:rPr>
        <w:t>ent Data, calculate the Upper Quartile;</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3znysh7" w:colFirst="0" w:colLast="0"/>
      <w:bookmarkEnd w:id="5"/>
      <w:r>
        <w:rPr>
          <w:rFonts w:ascii="Arial" w:eastAsia="Arial" w:hAnsi="Arial"/>
          <w:color w:val="000000"/>
          <w:sz w:val="24"/>
          <w:szCs w:val="24"/>
        </w:rPr>
        <w:lastRenderedPageBreak/>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6B7D40" w:rsidRDefault="0067243B">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6" w:name="_heading=h.2et92p0"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6B7D40" w:rsidRDefault="0067243B">
      <w:pPr>
        <w:keepNext/>
        <w:numPr>
          <w:ilvl w:val="1"/>
          <w:numId w:val="1"/>
        </w:numPr>
        <w:pBdr>
          <w:top w:val="nil"/>
          <w:left w:val="nil"/>
          <w:bottom w:val="nil"/>
          <w:right w:val="nil"/>
          <w:between w:val="nil"/>
        </w:pBdr>
        <w:tabs>
          <w:tab w:val="left" w:pos="1134"/>
        </w:tabs>
        <w:spacing w:before="120" w:after="120"/>
        <w:ind w:left="648" w:hanging="222"/>
        <w:rPr>
          <w:color w:val="000000"/>
          <w:sz w:val="24"/>
          <w:szCs w:val="24"/>
        </w:rPr>
      </w:pPr>
      <w:r>
        <w:rPr>
          <w:rFonts w:ascii="Arial" w:eastAsia="Arial" w:hAnsi="Arial"/>
          <w:b/>
          <w:color w:val="000000"/>
          <w:sz w:val="24"/>
          <w:szCs w:val="24"/>
        </w:rPr>
        <w:t>Benchmarking Report</w:t>
      </w:r>
    </w:p>
    <w:p w:rsidR="006B7D40" w:rsidRDefault="0067243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6B7D40" w:rsidRDefault="0067243B">
      <w:pPr>
        <w:keepNext/>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Relevant Authority, at the time specified in the plan App</w:t>
      </w:r>
      <w:r>
        <w:rPr>
          <w:rFonts w:ascii="Arial" w:eastAsia="Arial" w:hAnsi="Arial"/>
          <w:color w:val="000000"/>
          <w:sz w:val="24"/>
          <w:szCs w:val="24"/>
        </w:rPr>
        <w:t>roved pursuant to Paragraph 3.2.3, setting out its findings.  Those findings shall be required to:</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6B7D40" w:rsidRDefault="0067243B">
      <w:pPr>
        <w:numPr>
          <w:ilvl w:val="3"/>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6B7D40" w:rsidRDefault="0067243B">
      <w:pPr>
        <w:numPr>
          <w:ilvl w:val="2"/>
          <w:numId w:val="1"/>
        </w:numPr>
        <w:pBdr>
          <w:top w:val="nil"/>
          <w:left w:val="nil"/>
          <w:bottom w:val="nil"/>
          <w:right w:val="nil"/>
          <w:between w:val="nil"/>
        </w:pBdr>
        <w:tabs>
          <w:tab w:val="left" w:pos="1985"/>
        </w:tabs>
        <w:spacing w:before="120" w:after="120"/>
      </w:pPr>
      <w:bookmarkStart w:id="7" w:name="_heading=h.tyjcwt" w:colFirst="0" w:colLast="0"/>
      <w:bookmarkEnd w:id="7"/>
      <w:r>
        <w:rPr>
          <w:rFonts w:ascii="Arial" w:eastAsia="Arial" w:hAnsi="Arial"/>
          <w:color w:val="000000"/>
          <w:sz w:val="24"/>
          <w:szCs w:val="24"/>
        </w:rPr>
        <w:t>The Parties agree that any changes required to th</w:t>
      </w:r>
      <w:r>
        <w:rPr>
          <w:rFonts w:ascii="Arial" w:eastAsia="Arial" w:hAnsi="Arial"/>
          <w:color w:val="000000"/>
          <w:sz w:val="24"/>
          <w:szCs w:val="24"/>
        </w:rPr>
        <w:t>is Contract identified in the Benchmarking Report shall be implemented at the direction of the Relevant Authority in accordance with Clause 24 of the Core Terms (Changing the contract).</w:t>
      </w:r>
    </w:p>
    <w:sectPr w:rsidR="006B7D4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43B" w:rsidRDefault="0067243B">
      <w:pPr>
        <w:spacing w:after="0"/>
      </w:pPr>
      <w:r>
        <w:separator/>
      </w:r>
    </w:p>
  </w:endnote>
  <w:endnote w:type="continuationSeparator" w:id="0">
    <w:p w:rsidR="0067243B" w:rsidRDefault="00672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D40" w:rsidRDefault="006B7D40">
    <w:pPr>
      <w:tabs>
        <w:tab w:val="center" w:pos="4513"/>
        <w:tab w:val="right" w:pos="9026"/>
      </w:tabs>
      <w:spacing w:after="0"/>
      <w:rPr>
        <w:rFonts w:ascii="Arial" w:eastAsia="Arial" w:hAnsi="Arial"/>
        <w:sz w:val="20"/>
        <w:szCs w:val="20"/>
      </w:rPr>
    </w:pPr>
  </w:p>
  <w:p w:rsidR="006B7D40" w:rsidRDefault="0067243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5E4DDB">
      <w:rPr>
        <w:rFonts w:ascii="Arial" w:eastAsia="Arial" w:hAnsi="Arial"/>
        <w:sz w:val="20"/>
        <w:szCs w:val="20"/>
      </w:rPr>
      <w:t>6282</w:t>
    </w:r>
  </w:p>
  <w:p w:rsidR="006B7D40" w:rsidRDefault="0067243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50263">
      <w:rPr>
        <w:rFonts w:ascii="Arial" w:eastAsia="Arial" w:hAnsi="Arial"/>
        <w:color w:val="000000"/>
        <w:sz w:val="20"/>
        <w:szCs w:val="20"/>
      </w:rPr>
      <w:fldChar w:fldCharType="separate"/>
    </w:r>
    <w:r w:rsidR="00C50263">
      <w:rPr>
        <w:rFonts w:ascii="Arial" w:eastAsia="Arial" w:hAnsi="Arial"/>
        <w:noProof/>
        <w:color w:val="000000"/>
        <w:sz w:val="20"/>
        <w:szCs w:val="20"/>
      </w:rPr>
      <w:t>1</w:t>
    </w:r>
    <w:r>
      <w:rPr>
        <w:rFonts w:ascii="Arial" w:eastAsia="Arial" w:hAnsi="Arial"/>
        <w:color w:val="000000"/>
        <w:sz w:val="20"/>
        <w:szCs w:val="20"/>
      </w:rPr>
      <w:fldChar w:fldCharType="end"/>
    </w:r>
  </w:p>
  <w:p w:rsidR="006B7D40" w:rsidRDefault="0067243B">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D40" w:rsidRDefault="0067243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6B7D40" w:rsidRDefault="0067243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6B7D40" w:rsidRDefault="0067243B">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43B" w:rsidRDefault="0067243B">
      <w:pPr>
        <w:spacing w:after="0"/>
      </w:pPr>
      <w:r>
        <w:separator/>
      </w:r>
    </w:p>
  </w:footnote>
  <w:footnote w:type="continuationSeparator" w:id="0">
    <w:p w:rsidR="0067243B" w:rsidRDefault="006724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D40" w:rsidRDefault="0067243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14 (Benchmarking)</w:t>
    </w:r>
  </w:p>
  <w:p w:rsidR="006B7D40" w:rsidRDefault="0067243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rsidR="006B7D40" w:rsidRDefault="006B7D4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D40" w:rsidRDefault="0067243B">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819FF"/>
    <w:multiLevelType w:val="multilevel"/>
    <w:tmpl w:val="FB82310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928" w:hanging="502"/>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70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409" w:hanging="48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3240FCF"/>
    <w:multiLevelType w:val="multilevel"/>
    <w:tmpl w:val="5D0E64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D40"/>
    <w:rsid w:val="005E4DDB"/>
    <w:rsid w:val="0067243B"/>
    <w:rsid w:val="006B7D40"/>
    <w:rsid w:val="00C50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4761"/>
  <w15:docId w15:val="{1B812AED-365D-4792-8624-CD131F4A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1920"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RBmrmP2Lvk5aK+mweaojPID3A==">AMUW2mWRtTmSDIW+XBaCX5cfPHmm9i8gY8tBkT4OLi1TdWsvivytZ9hlJP+ma2JUQiCIG/YKKrYUCsQvb3RcyvSukSUx6k16Bsimy86uUw+yXSFPQ0QN6OTzycLJeg+lToYal7GUVIlSC/UftaTfPVhJhP67O26+4975ZNXI02bkCcytaoZ8Uat3mGM2MacF9NiTVlbscJH1TTXxWdD2HH7SYWuxbw/s0w==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Baljinder Love</cp:lastModifiedBy>
  <cp:revision>3</cp:revision>
  <dcterms:created xsi:type="dcterms:W3CDTF">2021-10-13T13:49:00Z</dcterms:created>
  <dcterms:modified xsi:type="dcterms:W3CDTF">2021-10-13T13:50:00Z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